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1977F3" w14:paraId="4292E470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BBC3052" w14:textId="77777777" w:rsidR="0068664E" w:rsidRPr="001977F3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1977F3"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3D968372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  <w:rtl/>
              </w:rPr>
            </w:pPr>
            <w:r w:rsidRPr="001977F3">
              <w:rPr>
                <w:rFonts w:ascii="Arial" w:hAnsi="Arial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3BCF87E" wp14:editId="4395E3DF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23D7518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color w:val="365F91"/>
                <w:spacing w:val="-2"/>
                <w:sz w:val="30"/>
                <w:szCs w:val="30"/>
              </w:rPr>
            </w:pPr>
            <w:r w:rsidRPr="001977F3">
              <w:rPr>
                <w:rFonts w:ascii="Arial" w:hAnsi="Arial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AC1FAE7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</w:rPr>
            </w:pPr>
            <w:r w:rsidRPr="001977F3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 w:rsidRPr="001977F3">
              <w:rPr>
                <w:rFonts w:ascii="Arial" w:hAnsi="Arial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1977F3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</w:rPr>
              <w:t>22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rtl/>
              </w:rPr>
              <w:t>–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lang w:val="en-US"/>
              </w:rPr>
              <w:t>2023</w:t>
            </w:r>
            <w:r w:rsidRPr="001977F3">
              <w:rPr>
                <w:rFonts w:ascii="Arial" w:hAnsi="Arial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 w:rsidRPr="001977F3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1EC339F3" w14:textId="71130171" w:rsidR="0068664E" w:rsidRPr="001977F3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70309"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6.5</w:t>
            </w:r>
          </w:p>
        </w:tc>
      </w:tr>
      <w:tr w:rsidR="0068664E" w:rsidRPr="001977F3" w14:paraId="38CC91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526944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C9D219B" w14:textId="77777777" w:rsidR="0068664E" w:rsidRPr="001977F3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31F113A" w14:textId="1EAE7E01" w:rsidR="0068664E" w:rsidRPr="001977F3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="Arial" w:hAnsi="Arial"/>
                <w:color w:val="365F91" w:themeColor="accent1" w:themeShade="BF"/>
                <w:szCs w:val="26"/>
              </w:rPr>
            </w:pPr>
            <w:r w:rsidRPr="001977F3">
              <w:rPr>
                <w:rFonts w:ascii="Arial" w:hAnsi="Arial"/>
                <w:color w:val="365F91" w:themeColor="accent1" w:themeShade="BF"/>
                <w:szCs w:val="26"/>
                <w:rtl/>
              </w:rPr>
              <w:t>وثيقة مقدمة من:</w:t>
            </w:r>
            <w:r w:rsidRPr="001977F3">
              <w:rPr>
                <w:rFonts w:ascii="Arial" w:hAnsi="Arial"/>
                <w:color w:val="365F91" w:themeColor="accent1" w:themeShade="BF"/>
                <w:szCs w:val="26"/>
              </w:rPr>
              <w:br/>
            </w:r>
            <w:r w:rsidR="005B6E30" w:rsidRPr="001977F3">
              <w:rPr>
                <w:rFonts w:ascii="Arial" w:hAnsi="Arial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79E49058" w14:textId="5961477B" w:rsidR="0068664E" w:rsidRPr="001977F3" w:rsidRDefault="005B6E30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="Arial" w:hAnsi="Arial"/>
                <w:color w:val="365F91" w:themeColor="accent1" w:themeShade="BF"/>
                <w:szCs w:val="26"/>
                <w:lang w:val="en-US"/>
              </w:rPr>
            </w:pPr>
            <w:r w:rsidRPr="001977F3">
              <w:rPr>
                <w:rFonts w:ascii="Arial" w:hAnsi="Arial"/>
                <w:color w:val="365F91" w:themeColor="accent1" w:themeShade="BF"/>
                <w:szCs w:val="26"/>
              </w:rPr>
              <w:t>8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</w:rPr>
              <w:t>.</w:t>
            </w:r>
            <w:r w:rsidRPr="001977F3">
              <w:rPr>
                <w:rFonts w:ascii="Arial" w:hAnsi="Arial"/>
                <w:color w:val="365F91" w:themeColor="accent1" w:themeShade="BF"/>
                <w:szCs w:val="26"/>
              </w:rPr>
              <w:t>V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</w:rPr>
              <w:t>.202</w:t>
            </w:r>
            <w:r w:rsidR="0068664E" w:rsidRPr="001977F3">
              <w:rPr>
                <w:rFonts w:ascii="Arial" w:hAnsi="Arial"/>
                <w:color w:val="365F91" w:themeColor="accent1" w:themeShade="BF"/>
                <w:szCs w:val="26"/>
                <w:lang w:val="en-US"/>
              </w:rPr>
              <w:t>3</w:t>
            </w:r>
          </w:p>
          <w:p w14:paraId="50827B9A" w14:textId="77777777" w:rsidR="0068664E" w:rsidRPr="001977F3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="Arial" w:hAnsi="Arial"/>
                <w:b/>
                <w:bCs/>
                <w:color w:val="365F91" w:themeColor="accent1" w:themeShade="BF"/>
                <w:szCs w:val="22"/>
              </w:rPr>
            </w:pP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1977F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1AFE2FD6" w14:textId="33D5597F" w:rsidR="00082C80" w:rsidRPr="001977F3" w:rsidRDefault="00800322" w:rsidP="00A70309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1977F3">
        <w:rPr>
          <w:b/>
          <w:bCs/>
          <w:sz w:val="22"/>
          <w:szCs w:val="28"/>
          <w:rtl/>
        </w:rPr>
        <w:t xml:space="preserve">البند </w:t>
      </w:r>
      <w:r w:rsidR="00A70309" w:rsidRPr="001977F3">
        <w:rPr>
          <w:b/>
          <w:bCs/>
          <w:sz w:val="22"/>
          <w:szCs w:val="28"/>
        </w:rPr>
        <w:t>6</w:t>
      </w:r>
      <w:r w:rsidRPr="001977F3">
        <w:rPr>
          <w:b/>
          <w:bCs/>
          <w:sz w:val="22"/>
          <w:szCs w:val="28"/>
          <w:rtl/>
        </w:rPr>
        <w:t xml:space="preserve"> من جدول الأعمال:</w:t>
      </w:r>
      <w:r w:rsidRPr="001977F3">
        <w:rPr>
          <w:b/>
          <w:bCs/>
          <w:sz w:val="22"/>
          <w:szCs w:val="28"/>
        </w:rPr>
        <w:tab/>
      </w:r>
      <w:r w:rsidR="00A70309" w:rsidRPr="00241E36">
        <w:rPr>
          <w:b/>
          <w:bCs/>
          <w:spacing w:val="-2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247DD3E0" w14:textId="381343F0" w:rsidR="00C4470F" w:rsidRPr="001977F3" w:rsidRDefault="00FF240C" w:rsidP="00A70309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bookmarkStart w:id="0" w:name="_APPENDIX_A:_"/>
      <w:bookmarkEnd w:id="0"/>
      <w:r w:rsidRPr="001977F3">
        <w:rPr>
          <w:b/>
          <w:bCs/>
          <w:sz w:val="22"/>
          <w:szCs w:val="28"/>
          <w:rtl/>
        </w:rPr>
        <w:t>البند</w:t>
      </w:r>
      <w:r w:rsidR="003F1F22" w:rsidRPr="001977F3">
        <w:rPr>
          <w:b/>
          <w:bCs/>
          <w:sz w:val="22"/>
          <w:szCs w:val="28"/>
          <w:rtl/>
        </w:rPr>
        <w:t xml:space="preserve"> الفرعي</w:t>
      </w:r>
      <w:r w:rsidRPr="001977F3">
        <w:rPr>
          <w:b/>
          <w:bCs/>
          <w:sz w:val="22"/>
          <w:szCs w:val="28"/>
          <w:rtl/>
        </w:rPr>
        <w:t xml:space="preserve"> </w:t>
      </w:r>
      <w:r w:rsidR="00A70309" w:rsidRPr="001977F3">
        <w:rPr>
          <w:b/>
          <w:bCs/>
          <w:sz w:val="22"/>
          <w:szCs w:val="28"/>
        </w:rPr>
        <w:t>6.5</w:t>
      </w:r>
      <w:r w:rsidRPr="001977F3">
        <w:rPr>
          <w:b/>
          <w:bCs/>
          <w:sz w:val="22"/>
          <w:szCs w:val="28"/>
          <w:rtl/>
        </w:rPr>
        <w:t xml:space="preserve"> من جدول الأعمال:</w:t>
      </w:r>
      <w:r w:rsidRPr="001977F3">
        <w:rPr>
          <w:b/>
          <w:bCs/>
        </w:rPr>
        <w:tab/>
      </w:r>
      <w:r w:rsidR="00A70309" w:rsidRPr="001977F3">
        <w:rPr>
          <w:b/>
          <w:bCs/>
          <w:rtl/>
        </w:rPr>
        <w:t>الرقابة</w:t>
      </w:r>
    </w:p>
    <w:p w14:paraId="0A35F585" w14:textId="14135CF1" w:rsidR="00814CC6" w:rsidRPr="001977F3" w:rsidRDefault="005B6E30" w:rsidP="00A70309">
      <w:pPr>
        <w:pStyle w:val="WMOHeading1"/>
      </w:pPr>
      <w:r w:rsidRPr="001977F3">
        <w:rPr>
          <w:rFonts w:hint="cs"/>
          <w:rtl/>
        </w:rPr>
        <w:t>النظر في تقارير الهيئات الرقابية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1977F3" w14:paraId="746C08EE" w14:textId="77777777" w:rsidTr="00EF5E28">
        <w:trPr>
          <w:jc w:val="center"/>
        </w:trPr>
        <w:tc>
          <w:tcPr>
            <w:tcW w:w="9175" w:type="dxa"/>
          </w:tcPr>
          <w:p w14:paraId="5318AB2F" w14:textId="77777777" w:rsidR="00EF5E28" w:rsidRPr="001977F3" w:rsidRDefault="00EF5E28" w:rsidP="00130AFF">
            <w:pPr>
              <w:pStyle w:val="WMOBodyText"/>
              <w:spacing w:after="120"/>
              <w:jc w:val="center"/>
            </w:pPr>
            <w:r w:rsidRPr="001977F3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1977F3" w14:paraId="1F2311E0" w14:textId="77777777" w:rsidTr="005B6E30">
        <w:trPr>
          <w:trHeight w:val="2935"/>
          <w:jc w:val="center"/>
        </w:trPr>
        <w:tc>
          <w:tcPr>
            <w:tcW w:w="9175" w:type="dxa"/>
          </w:tcPr>
          <w:p w14:paraId="6F9F9103" w14:textId="50EB0C25" w:rsidR="00961410" w:rsidRPr="001977F3" w:rsidRDefault="00961410" w:rsidP="00553E4B">
            <w:pPr>
              <w:pStyle w:val="WMOBodyText"/>
              <w:jc w:val="left"/>
            </w:pPr>
            <w:r w:rsidRPr="001977F3">
              <w:rPr>
                <w:rFonts w:hint="cs"/>
                <w:b/>
                <w:bCs/>
                <w:rtl/>
              </w:rPr>
              <w:t>وثيقة مقدمة من:</w:t>
            </w:r>
            <w:r w:rsidRPr="001977F3">
              <w:rPr>
                <w:rFonts w:hint="cs"/>
                <w:rtl/>
              </w:rPr>
              <w:t xml:space="preserve"> </w:t>
            </w:r>
            <w:r w:rsidR="005B6E30" w:rsidRPr="001977F3">
              <w:rPr>
                <w:rFonts w:hint="cs"/>
                <w:rtl/>
              </w:rPr>
              <w:t xml:space="preserve">الأمين العام </w:t>
            </w:r>
            <w:r w:rsidR="008E752E">
              <w:rPr>
                <w:rFonts w:hint="cs"/>
                <w:rtl/>
              </w:rPr>
              <w:t>ليعرض</w:t>
            </w:r>
            <w:r w:rsidR="005B6E30" w:rsidRPr="001977F3">
              <w:rPr>
                <w:rFonts w:hint="cs"/>
                <w:rtl/>
              </w:rPr>
              <w:t xml:space="preserve"> التقارير </w:t>
            </w:r>
            <w:r w:rsidR="00241E36">
              <w:rPr>
                <w:rFonts w:hint="cs"/>
                <w:rtl/>
              </w:rPr>
              <w:t>المقدمة</w:t>
            </w:r>
            <w:r w:rsidR="005B6E30" w:rsidRPr="001977F3">
              <w:rPr>
                <w:rFonts w:hint="cs"/>
                <w:rtl/>
              </w:rPr>
              <w:t xml:space="preserve"> من الهيئات الرقابية</w:t>
            </w:r>
          </w:p>
          <w:p w14:paraId="578B1859" w14:textId="18EF440E" w:rsidR="00961410" w:rsidRPr="001977F3" w:rsidRDefault="00961410" w:rsidP="00553E4B">
            <w:pPr>
              <w:pStyle w:val="WMOBodyText"/>
              <w:jc w:val="left"/>
              <w:rPr>
                <w:rFonts w:hint="cs"/>
                <w:rtl/>
                <w:lang w:val="en-US"/>
              </w:rPr>
            </w:pPr>
            <w:r w:rsidRPr="001977F3">
              <w:rPr>
                <w:b/>
                <w:bCs/>
                <w:rtl/>
              </w:rPr>
              <w:t>الهدف الاستراتيجي</w:t>
            </w:r>
            <w:r w:rsidRPr="001977F3">
              <w:rPr>
                <w:rFonts w:hint="cs"/>
                <w:b/>
                <w:bCs/>
                <w:rtl/>
              </w:rPr>
              <w:t xml:space="preserve"> </w:t>
            </w:r>
            <w:r w:rsidRPr="001977F3">
              <w:rPr>
                <w:b/>
                <w:bCs/>
              </w:rPr>
              <w:t>2020</w:t>
            </w:r>
            <w:r w:rsidRPr="001977F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1977F3">
              <w:rPr>
                <w:b/>
                <w:bCs/>
                <w:lang w:bidi="ar-EG"/>
              </w:rPr>
              <w:t>2023</w:t>
            </w:r>
            <w:r w:rsidRPr="001977F3">
              <w:rPr>
                <w:b/>
                <w:bCs/>
                <w:rtl/>
              </w:rPr>
              <w:t>:</w:t>
            </w:r>
            <w:r w:rsidRPr="001977F3">
              <w:rPr>
                <w:rFonts w:hint="cs"/>
                <w:rtl/>
              </w:rPr>
              <w:t xml:space="preserve"> </w:t>
            </w:r>
            <w:r w:rsidR="005B6E30" w:rsidRPr="001977F3">
              <w:rPr>
                <w:lang w:val="en-US"/>
              </w:rPr>
              <w:t>5.1</w:t>
            </w:r>
          </w:p>
          <w:p w14:paraId="0E31FCB4" w14:textId="4DCAC227" w:rsidR="00961410" w:rsidRPr="001977F3" w:rsidRDefault="003E41DD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</w:t>
            </w:r>
            <w:r w:rsidR="00961410" w:rsidRPr="001977F3">
              <w:rPr>
                <w:rFonts w:hint="cs"/>
                <w:b/>
                <w:bCs/>
                <w:rtl/>
              </w:rPr>
              <w:t>:</w:t>
            </w:r>
            <w:r w:rsidR="00961410" w:rsidRPr="001977F3">
              <w:rPr>
                <w:rFonts w:hint="cs"/>
                <w:rtl/>
              </w:rPr>
              <w:t xml:space="preserve"> </w:t>
            </w:r>
            <w:r w:rsidR="005B6E30" w:rsidRPr="001977F3">
              <w:rPr>
                <w:rFonts w:hint="cs"/>
                <w:rtl/>
              </w:rPr>
              <w:t>الأمانة وهيئات الحوكمة</w:t>
            </w:r>
          </w:p>
          <w:p w14:paraId="6F9DA976" w14:textId="1976AE3A" w:rsidR="00961410" w:rsidRPr="001977F3" w:rsidRDefault="00961410" w:rsidP="00553E4B">
            <w:pPr>
              <w:pStyle w:val="WMOBodyText"/>
              <w:jc w:val="left"/>
            </w:pPr>
            <w:r w:rsidRPr="001977F3">
              <w:rPr>
                <w:rFonts w:hint="cs"/>
                <w:b/>
                <w:bCs/>
                <w:rtl/>
              </w:rPr>
              <w:t>الجدول الزمني:</w:t>
            </w:r>
            <w:r w:rsidRPr="001977F3">
              <w:rPr>
                <w:rFonts w:hint="cs"/>
                <w:rtl/>
              </w:rPr>
              <w:t xml:space="preserve"> </w:t>
            </w:r>
            <w:r w:rsidR="005B6E30" w:rsidRPr="001977F3">
              <w:rPr>
                <w:lang w:val="en-US"/>
              </w:rPr>
              <w:t>2024</w:t>
            </w:r>
            <w:r w:rsidR="005B6E30" w:rsidRPr="001977F3">
              <w:rPr>
                <w:rFonts w:hint="cs"/>
                <w:rtl/>
                <w:lang w:val="en-US"/>
              </w:rPr>
              <w:t>-</w:t>
            </w:r>
            <w:r w:rsidR="005B6E30" w:rsidRPr="001977F3">
              <w:rPr>
                <w:lang w:val="en-US"/>
              </w:rPr>
              <w:t>2027</w:t>
            </w:r>
          </w:p>
          <w:p w14:paraId="0E7AFC05" w14:textId="254B4B8B" w:rsidR="00961410" w:rsidRPr="001977F3" w:rsidRDefault="00961410" w:rsidP="00553E4B">
            <w:pPr>
              <w:pStyle w:val="WMOBodyText"/>
              <w:spacing w:after="240"/>
              <w:jc w:val="left"/>
            </w:pPr>
            <w:r w:rsidRPr="001977F3">
              <w:rPr>
                <w:rFonts w:hint="cs"/>
                <w:b/>
                <w:bCs/>
                <w:rtl/>
              </w:rPr>
              <w:t xml:space="preserve">الإجراء </w:t>
            </w:r>
            <w:r w:rsidRPr="001977F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1977F3">
              <w:rPr>
                <w:rFonts w:hint="cs"/>
                <w:rtl/>
                <w:lang w:bidi="ar-EG"/>
              </w:rPr>
              <w:t xml:space="preserve"> </w:t>
            </w:r>
            <w:r w:rsidR="005B6E30" w:rsidRPr="001977F3">
              <w:rPr>
                <w:rFonts w:hint="cs"/>
                <w:rtl/>
                <w:lang w:bidi="ar-EG"/>
              </w:rPr>
              <w:t>اعتماد مشروع القرار المقترح</w:t>
            </w:r>
          </w:p>
        </w:tc>
      </w:tr>
    </w:tbl>
    <w:p w14:paraId="1F7191D9" w14:textId="77777777" w:rsidR="00432A74" w:rsidRPr="001977F3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1977F3">
        <w:rPr>
          <w:rtl/>
        </w:rPr>
        <w:br w:type="page"/>
      </w:r>
    </w:p>
    <w:p w14:paraId="4358209D" w14:textId="77777777" w:rsidR="00814CC6" w:rsidRPr="001977F3" w:rsidRDefault="00241E9A" w:rsidP="009B1307">
      <w:pPr>
        <w:pStyle w:val="WMOHeading1"/>
        <w:spacing w:before="0" w:after="300"/>
      </w:pPr>
      <w:r w:rsidRPr="001977F3">
        <w:rPr>
          <w:rFonts w:hint="cs"/>
          <w:rtl/>
        </w:rPr>
        <w:lastRenderedPageBreak/>
        <w:t>مشروع القرار</w:t>
      </w:r>
    </w:p>
    <w:p w14:paraId="26E80C1E" w14:textId="3D133AE3" w:rsidR="00814CC6" w:rsidRPr="001977F3" w:rsidRDefault="00BD6947" w:rsidP="009B1307">
      <w:pPr>
        <w:pStyle w:val="WMOHeading2"/>
        <w:spacing w:before="300" w:after="300"/>
      </w:pPr>
      <w:r w:rsidRPr="001977F3">
        <w:rPr>
          <w:rtl/>
        </w:rPr>
        <w:t xml:space="preserve">مشروع القرار </w:t>
      </w:r>
      <w:r w:rsidR="005B6E30" w:rsidRPr="001977F3">
        <w:t>1</w:t>
      </w:r>
      <w:r w:rsidRPr="001977F3">
        <w:t>/</w:t>
      </w:r>
      <w:r w:rsidR="005B6E30" w:rsidRPr="001977F3">
        <w:t>6.5</w:t>
      </w:r>
      <w:r w:rsidRPr="001977F3">
        <w:rPr>
          <w:rtl/>
        </w:rPr>
        <w:t xml:space="preserve"> </w:t>
      </w:r>
      <w:r w:rsidR="00C03DE0" w:rsidRPr="001977F3">
        <w:t>(</w:t>
      </w:r>
      <w:r w:rsidR="00004D69" w:rsidRPr="001977F3">
        <w:t>Cg-19</w:t>
      </w:r>
      <w:r w:rsidR="00C03DE0" w:rsidRPr="001977F3">
        <w:t>)</w:t>
      </w:r>
    </w:p>
    <w:p w14:paraId="2F258FA6" w14:textId="471F6EE5" w:rsidR="00814CC6" w:rsidRPr="001977F3" w:rsidRDefault="005B6E30" w:rsidP="009B1307">
      <w:pPr>
        <w:pStyle w:val="MHeading2"/>
        <w:spacing w:before="300" w:after="300"/>
      </w:pPr>
      <w:r w:rsidRPr="001977F3">
        <w:rPr>
          <w:rFonts w:hint="cs"/>
          <w:rtl/>
        </w:rPr>
        <w:t>النظر في تقارير الهيئات الرقابية</w:t>
      </w:r>
    </w:p>
    <w:p w14:paraId="4F04A859" w14:textId="77777777" w:rsidR="000B3884" w:rsidRPr="001977F3" w:rsidRDefault="00004D69" w:rsidP="009B1307">
      <w:pPr>
        <w:pStyle w:val="WMOBodyText"/>
        <w:spacing w:before="200"/>
        <w:rPr>
          <w:sz w:val="22"/>
          <w:szCs w:val="28"/>
        </w:rPr>
      </w:pPr>
      <w:r w:rsidRPr="001977F3">
        <w:rPr>
          <w:sz w:val="22"/>
          <w:szCs w:val="28"/>
          <w:rtl/>
        </w:rPr>
        <w:t xml:space="preserve">إن </w:t>
      </w:r>
      <w:r w:rsidRPr="001977F3">
        <w:rPr>
          <w:rFonts w:hint="cs"/>
          <w:sz w:val="22"/>
          <w:szCs w:val="28"/>
          <w:rtl/>
        </w:rPr>
        <w:t>المؤتمر العالمي للأرصاد الجوية</w:t>
      </w:r>
      <w:r w:rsidRPr="001977F3">
        <w:rPr>
          <w:sz w:val="22"/>
          <w:szCs w:val="28"/>
          <w:rtl/>
        </w:rPr>
        <w:t>،</w:t>
      </w:r>
    </w:p>
    <w:p w14:paraId="11464D01" w14:textId="614B9FA8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Times New Roman" w:hAnsi="Arial"/>
          <w:b/>
          <w:bCs/>
          <w:szCs w:val="26"/>
          <w:rtl/>
          <w:lang w:val="en-US" w:eastAsia="zh-TW"/>
        </w:rPr>
        <w:t>وقد نظر</w:t>
      </w:r>
      <w:r w:rsidRPr="005A1239">
        <w:rPr>
          <w:rFonts w:ascii="Arial" w:eastAsia="Times New Roman" w:hAnsi="Arial"/>
          <w:szCs w:val="26"/>
          <w:rtl/>
          <w:lang w:val="en-US" w:eastAsia="zh-TW"/>
        </w:rPr>
        <w:t xml:space="preserve"> في تقارير مراجع الحسابات الخارجي</w:t>
      </w:r>
      <w:r w:rsidR="000B37D4">
        <w:rPr>
          <w:rFonts w:ascii="Arial" w:eastAsia="Times New Roman" w:hAnsi="Arial" w:hint="cs"/>
          <w:szCs w:val="26"/>
          <w:rtl/>
          <w:lang w:val="en-US" w:eastAsia="zh-TW"/>
        </w:rPr>
        <w:t>،</w:t>
      </w:r>
      <w:r w:rsidRPr="005A1239">
        <w:rPr>
          <w:rFonts w:ascii="Arial" w:eastAsia="Times New Roman" w:hAnsi="Arial"/>
          <w:szCs w:val="26"/>
          <w:rtl/>
          <w:lang w:val="en-US" w:eastAsia="zh-TW"/>
        </w:rPr>
        <w:t xml:space="preserve"> ورئيس لجنة المراجعة والرقابة التابعة للمنظمة </w:t>
      </w:r>
      <w:r w:rsidRPr="005A1239">
        <w:rPr>
          <w:rFonts w:ascii="Arial" w:eastAsia="Times New Roman" w:hAnsi="Arial"/>
          <w:szCs w:val="26"/>
          <w:lang w:eastAsia="zh-TW"/>
        </w:rPr>
        <w:t>(WMO)</w:t>
      </w:r>
      <w:r w:rsidR="000B37D4">
        <w:rPr>
          <w:rFonts w:ascii="Arial" w:eastAsia="Times New Roman" w:hAnsi="Arial" w:hint="cs"/>
          <w:szCs w:val="26"/>
          <w:rtl/>
          <w:lang w:eastAsia="zh-TW"/>
        </w:rPr>
        <w:t>،</w:t>
      </w:r>
      <w:r w:rsidRPr="005A1239">
        <w:rPr>
          <w:rFonts w:ascii="Arial" w:eastAsia="Times New Roman" w:hAnsi="Arial"/>
          <w:szCs w:val="26"/>
          <w:rtl/>
          <w:lang w:val="en-US" w:eastAsia="zh-TW"/>
        </w:rPr>
        <w:t xml:space="preserve"> ومكتب الرقابة الداخلية،</w:t>
      </w:r>
    </w:p>
    <w:p w14:paraId="5104C893" w14:textId="7BCCA652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أحاط علماً </w:t>
      </w:r>
      <w:r w:rsidRPr="005A1239">
        <w:rPr>
          <w:rFonts w:ascii="Arial" w:eastAsia="Verdana" w:hAnsi="Arial"/>
          <w:szCs w:val="26"/>
          <w:rtl/>
          <w:lang w:val="en-US" w:eastAsia="zh-TW"/>
        </w:rPr>
        <w:t>مع التقدير بالعمل الذي قام به مراجع الحسابات الخارجي</w:t>
      </w:r>
      <w:r w:rsidR="000B37D4">
        <w:rPr>
          <w:rFonts w:ascii="Arial" w:eastAsia="Verdana" w:hAnsi="Arial" w:hint="cs"/>
          <w:szCs w:val="26"/>
          <w:rtl/>
          <w:lang w:val="en-US" w:eastAsia="zh-TW"/>
        </w:rPr>
        <w:t>،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ولجنة المراجعة والرقابة التابعة للمنظمة </w:t>
      </w:r>
      <w:r w:rsidRPr="005A1239">
        <w:rPr>
          <w:rFonts w:ascii="Arial" w:eastAsia="Verdana" w:hAnsi="Arial"/>
          <w:szCs w:val="26"/>
          <w:lang w:eastAsia="zh-TW"/>
        </w:rPr>
        <w:t>(WMO)</w:t>
      </w:r>
      <w:r w:rsidR="000B37D4">
        <w:rPr>
          <w:rFonts w:ascii="Arial" w:eastAsia="Verdana" w:hAnsi="Arial" w:hint="cs"/>
          <w:szCs w:val="26"/>
          <w:rtl/>
          <w:lang w:eastAsia="zh-TW"/>
        </w:rPr>
        <w:t>،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ومكتب الرقابة الداخلية، بما في ذل</w:t>
      </w:r>
      <w:r w:rsidRPr="005A1239">
        <w:rPr>
          <w:rFonts w:ascii="Arial" w:eastAsia="Verdana" w:hAnsi="Arial"/>
          <w:szCs w:val="26"/>
          <w:rtl/>
          <w:lang w:val="en-US" w:eastAsia="zh-TW" w:bidi="ar-EG"/>
        </w:rPr>
        <w:t>ك:</w:t>
      </w:r>
    </w:p>
    <w:p w14:paraId="3F8F857F" w14:textId="174960E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(1)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 xml:space="preserve">تقرير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مراجع الحسابات الخارجي 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و</w:t>
      </w:r>
      <w:r w:rsidR="00864EB6" w:rsidRPr="005A1239">
        <w:rPr>
          <w:rFonts w:ascii="Arial" w:eastAsia="Verdana" w:hAnsi="Arial"/>
          <w:szCs w:val="26"/>
          <w:rtl/>
          <w:lang w:val="en-US" w:eastAsia="zh-TW"/>
        </w:rPr>
        <w:t>توصيات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ه</w:t>
      </w:r>
      <w:r w:rsidR="00864EB6"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0B37D4">
        <w:rPr>
          <w:rFonts w:ascii="Arial" w:eastAsia="Verdana" w:hAnsi="Arial" w:hint="cs"/>
          <w:szCs w:val="26"/>
          <w:rtl/>
          <w:lang w:val="en-US" w:eastAsia="zh-TW"/>
        </w:rPr>
        <w:t>المقدم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ة</w:t>
      </w:r>
      <w:r w:rsidR="000B37D4"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>طبقاً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hyperlink r:id="rId12" w:anchor="page=151" w:history="1">
        <w:r w:rsidR="00864EB6">
          <w:rPr>
            <w:rStyle w:val="Hyperlink"/>
            <w:rFonts w:ascii="Arial" w:eastAsia="Verdana" w:hAnsi="Arial" w:hint="cs"/>
            <w:szCs w:val="26"/>
            <w:rtl/>
            <w:lang w:val="en-US" w:eastAsia="zh-TW"/>
          </w:rPr>
          <w:t>للمادة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 xml:space="preserve"> </w:t>
        </w:r>
        <w:r w:rsidRPr="005A1239">
          <w:rPr>
            <w:rStyle w:val="Hyperlink"/>
            <w:rFonts w:ascii="Arial" w:eastAsia="Verdana" w:hAnsi="Arial"/>
            <w:szCs w:val="26"/>
            <w:lang w:eastAsia="zh-TW"/>
          </w:rPr>
          <w:t>15.10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 xml:space="preserve"> من اللائحة المالية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</w:t>
      </w:r>
      <w:r w:rsidR="00033D78">
        <w:rPr>
          <w:rFonts w:ascii="Arial" w:eastAsia="Verdana" w:hAnsi="Arial" w:hint="cs"/>
          <w:szCs w:val="26"/>
          <w:rtl/>
          <w:lang w:val="en-US" w:eastAsia="zh-TW"/>
        </w:rPr>
        <w:t xml:space="preserve"> </w:t>
      </w:r>
      <w:r w:rsidR="00033D78" w:rsidRPr="00033D78">
        <w:rPr>
          <w:rFonts w:ascii="Arial" w:eastAsia="Verdana" w:hAnsi="Arial" w:hint="cs"/>
          <w:i/>
          <w:iCs/>
          <w:szCs w:val="26"/>
          <w:rtl/>
          <w:lang w:val="en-US" w:eastAsia="zh-TW"/>
        </w:rPr>
        <w:t>الوثائق</w:t>
      </w:r>
      <w:r w:rsidRPr="005A1239">
        <w:rPr>
          <w:rFonts w:ascii="Arial" w:eastAsia="Verdana" w:hAnsi="Arial"/>
          <w:i/>
          <w:iCs/>
          <w:szCs w:val="26"/>
          <w:rtl/>
          <w:lang w:val="en-US" w:eastAsia="zh-TW"/>
        </w:rPr>
        <w:t xml:space="preserve"> الأساسية </w:t>
      </w:r>
      <w:r w:rsidRPr="005A1239">
        <w:rPr>
          <w:rFonts w:ascii="Arial" w:eastAsia="Verdana" w:hAnsi="Arial"/>
          <w:szCs w:val="26"/>
          <w:rtl/>
          <w:lang w:val="en-US" w:eastAsia="zh-TW"/>
        </w:rPr>
        <w:t>رقم</w:t>
      </w:r>
      <w:r w:rsidR="00B631A0" w:rsidRPr="00864EB6">
        <w:rPr>
          <w:rFonts w:ascii="Arial" w:eastAsia="Verdana" w:hAnsi="Arial" w:hint="cs"/>
          <w:szCs w:val="26"/>
          <w:rtl/>
          <w:lang w:val="en-US" w:eastAsia="zh-TW"/>
        </w:rPr>
        <w:t> </w:t>
      </w:r>
      <w:r w:rsidRPr="005A1239">
        <w:rPr>
          <w:rFonts w:ascii="Arial" w:eastAsia="Verdana" w:hAnsi="Arial"/>
          <w:szCs w:val="26"/>
          <w:lang w:val="en-US" w:eastAsia="zh-TW"/>
        </w:rPr>
        <w:t>1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(مطبوع المنظمة رقم </w:t>
      </w:r>
      <w:r w:rsidRPr="005A1239">
        <w:rPr>
          <w:rFonts w:ascii="Arial" w:eastAsia="Verdana" w:hAnsi="Arial"/>
          <w:szCs w:val="26"/>
          <w:lang w:val="en-US" w:eastAsia="zh-TW"/>
        </w:rPr>
        <w:t>15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))، </w:t>
      </w:r>
      <w:r w:rsidR="00864EB6" w:rsidRPr="00864EB6">
        <w:rPr>
          <w:rFonts w:ascii="Arial" w:eastAsia="Verdana" w:hAnsi="Arial"/>
          <w:szCs w:val="26"/>
          <w:rtl/>
          <w:lang w:val="en-US" w:eastAsia="zh-TW"/>
        </w:rPr>
        <w:t>والتي</w:t>
      </w:r>
      <w:r w:rsidR="00864EB6">
        <w:rPr>
          <w:rFonts w:ascii="Arial" w:eastAsia="Verdana" w:hAnsi="Arial" w:hint="cs"/>
          <w:szCs w:val="26"/>
          <w:rtl/>
          <w:lang w:val="en-US" w:eastAsia="zh-TW"/>
        </w:rPr>
        <w:t xml:space="preserve"> </w:t>
      </w:r>
      <w:r w:rsidR="00864EB6" w:rsidRPr="00864EB6">
        <w:rPr>
          <w:rFonts w:ascii="Arial" w:eastAsia="Verdana" w:hAnsi="Arial"/>
          <w:szCs w:val="26"/>
          <w:rtl/>
          <w:lang w:val="en-US" w:eastAsia="zh-TW"/>
        </w:rPr>
        <w:t>تضمّنت رأياً خالياً من التحفظات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بشأن البيانات المالية للمنظمة </w:t>
      </w:r>
      <w:r w:rsidRPr="005A1239">
        <w:rPr>
          <w:rFonts w:ascii="Arial" w:eastAsia="Verdana" w:hAnsi="Arial"/>
          <w:szCs w:val="26"/>
          <w:lang w:eastAsia="zh-TW"/>
        </w:rPr>
        <w:t>(WMO)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(وثيقة المعلومات </w:t>
      </w:r>
      <w:hyperlink r:id="rId13" w:history="1">
        <w:r w:rsidRPr="001977F3">
          <w:rPr>
            <w:rStyle w:val="Hyperlink"/>
            <w:rFonts w:ascii="Arial" w:eastAsia="Times New Roman" w:hAnsi="Arial"/>
          </w:rPr>
          <w:t>Cg-19/IN</w:t>
        </w:r>
        <w:r w:rsidRPr="001977F3">
          <w:rPr>
            <w:rStyle w:val="Hyperlink"/>
            <w:rFonts w:ascii="Arial" w:eastAsia="Times New Roman" w:hAnsi="Arial"/>
          </w:rPr>
          <w:t>F</w:t>
        </w:r>
        <w:r w:rsidRPr="001977F3">
          <w:rPr>
            <w:rStyle w:val="Hyperlink"/>
            <w:rFonts w:ascii="Arial" w:eastAsia="Times New Roman" w:hAnsi="Arial"/>
          </w:rPr>
          <w:t>. 6.5(1a)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)،</w:t>
      </w:r>
    </w:p>
    <w:p w14:paraId="000127AA" w14:textId="4EFCE72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(2)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Pr="005A1239">
        <w:rPr>
          <w:rFonts w:ascii="Arial" w:eastAsia="Verdana" w:hAnsi="Arial"/>
          <w:spacing w:val="4"/>
          <w:szCs w:val="26"/>
          <w:rtl/>
          <w:lang w:val="en-US" w:eastAsia="zh-TW"/>
        </w:rPr>
        <w:t xml:space="preserve">خطة العمل بشأن حالة وإدارة التوصيات الصادرة عن مراجع الحسابات الخارجي (وثيقة المعلومات </w:t>
      </w:r>
      <w:hyperlink r:id="rId14" w:history="1">
        <w:r w:rsidRPr="001977F3">
          <w:rPr>
            <w:rStyle w:val="Hyperlink"/>
            <w:rFonts w:ascii="Arial" w:eastAsia="Times New Roman" w:hAnsi="Arial"/>
          </w:rPr>
          <w:t>Cg</w:t>
        </w:r>
        <w:r w:rsidRPr="001977F3">
          <w:rPr>
            <w:rStyle w:val="Hyperlink"/>
            <w:rFonts w:ascii="Arial" w:eastAsia="Times New Roman" w:hAnsi="Arial"/>
          </w:rPr>
          <w:noBreakHyphen/>
        </w:r>
        <w:r w:rsidRPr="001977F3">
          <w:rPr>
            <w:rStyle w:val="Hyperlink"/>
            <w:rFonts w:ascii="Arial" w:eastAsia="Times New Roman" w:hAnsi="Arial"/>
          </w:rPr>
          <w:t>19/I</w:t>
        </w:r>
        <w:r w:rsidRPr="001977F3">
          <w:rPr>
            <w:rStyle w:val="Hyperlink"/>
            <w:rFonts w:ascii="Arial" w:eastAsia="Times New Roman" w:hAnsi="Arial"/>
          </w:rPr>
          <w:t>N</w:t>
        </w:r>
        <w:r w:rsidRPr="001977F3">
          <w:rPr>
            <w:rStyle w:val="Hyperlink"/>
            <w:rFonts w:ascii="Arial" w:eastAsia="Times New Roman" w:hAnsi="Arial"/>
          </w:rPr>
          <w:t>F</w:t>
        </w:r>
        <w:r w:rsidRPr="001977F3">
          <w:rPr>
            <w:rStyle w:val="Hyperlink"/>
            <w:rFonts w:ascii="Arial" w:eastAsia="Times New Roman" w:hAnsi="Arial"/>
          </w:rPr>
          <w:t>. 6.5(1b)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)،</w:t>
      </w:r>
    </w:p>
    <w:p w14:paraId="475B6605" w14:textId="6262368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 w:hint="cs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(3)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تقرير لجنة المراجعة والرقابة </w:t>
      </w:r>
      <w:r w:rsidRPr="005A1239">
        <w:rPr>
          <w:rFonts w:ascii="Arial" w:eastAsia="Verdana" w:hAnsi="Arial"/>
          <w:spacing w:val="-4"/>
          <w:szCs w:val="26"/>
          <w:lang w:eastAsia="zh-TW"/>
        </w:rPr>
        <w:t>(AOC)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التابعة للمنظمة </w:t>
      </w:r>
      <w:r w:rsidRPr="005A1239">
        <w:rPr>
          <w:rFonts w:ascii="Arial" w:eastAsia="Verdana" w:hAnsi="Arial"/>
          <w:spacing w:val="-4"/>
          <w:szCs w:val="26"/>
          <w:lang w:eastAsia="zh-TW"/>
        </w:rPr>
        <w:t>(WMO)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وتوصياتها (وثيقة المعلومات </w:t>
      </w:r>
      <w:hyperlink r:id="rId15" w:history="1">
        <w:r w:rsidRPr="001977F3">
          <w:rPr>
            <w:rStyle w:val="Hyperlink"/>
            <w:rFonts w:ascii="Arial" w:eastAsia="Times New Roman" w:hAnsi="Arial"/>
            <w:spacing w:val="-4"/>
          </w:rPr>
          <w:t>Cg</w:t>
        </w:r>
        <w:r w:rsidRPr="001977F3">
          <w:rPr>
            <w:rStyle w:val="Hyperlink"/>
            <w:rFonts w:ascii="Arial" w:eastAsia="Times New Roman" w:hAnsi="Arial"/>
            <w:spacing w:val="-4"/>
          </w:rPr>
          <w:noBreakHyphen/>
          <w:t>19/INF. 6.</w:t>
        </w:r>
        <w:r w:rsidRPr="001977F3">
          <w:rPr>
            <w:rStyle w:val="Hyperlink"/>
            <w:rFonts w:ascii="Arial" w:eastAsia="Times New Roman" w:hAnsi="Arial"/>
            <w:spacing w:val="-4"/>
          </w:rPr>
          <w:t>5</w:t>
        </w:r>
        <w:r w:rsidRPr="001977F3">
          <w:rPr>
            <w:rStyle w:val="Hyperlink"/>
            <w:rFonts w:ascii="Arial" w:eastAsia="Times New Roman" w:hAnsi="Arial"/>
            <w:spacing w:val="-4"/>
          </w:rPr>
          <w:t>(2)</w:t>
        </w:r>
      </w:hyperlink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)</w:t>
      </w:r>
      <w:r w:rsidRPr="001977F3">
        <w:rPr>
          <w:rFonts w:ascii="Arial" w:eastAsia="Verdana" w:hAnsi="Arial" w:hint="cs"/>
          <w:spacing w:val="-4"/>
          <w:szCs w:val="26"/>
          <w:rtl/>
          <w:lang w:val="en-US" w:eastAsia="zh-TW"/>
        </w:rPr>
        <w:t>،</w:t>
      </w:r>
    </w:p>
    <w:p w14:paraId="1865AFAD" w14:textId="4E1224B6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ind w:left="567" w:hanging="567"/>
        <w:jc w:val="left"/>
        <w:textDirection w:val="tbRlV"/>
        <w:rPr>
          <w:rFonts w:ascii="Arial" w:eastAsia="Times New Roman" w:hAnsi="Arial"/>
          <w:spacing w:val="2"/>
          <w:szCs w:val="26"/>
          <w:lang w:val="ar-SA" w:eastAsia="zh-TW" w:bidi="en-GB"/>
        </w:rPr>
      </w:pPr>
      <w:r w:rsidRPr="005A1239">
        <w:rPr>
          <w:rFonts w:ascii="Arial" w:eastAsia="Verdana" w:hAnsi="Arial"/>
          <w:szCs w:val="26"/>
          <w:lang w:eastAsia="zh-TW"/>
        </w:rPr>
        <w:t>(4)</w:t>
      </w:r>
      <w:r w:rsidRPr="005A1239">
        <w:rPr>
          <w:rFonts w:ascii="Arial" w:eastAsia="Verdana" w:hAnsi="Arial"/>
          <w:szCs w:val="26"/>
          <w:rtl/>
          <w:lang w:val="en-US" w:eastAsia="zh-TW"/>
        </w:rPr>
        <w:tab/>
      </w:r>
      <w:r w:rsidRPr="005A1239">
        <w:rPr>
          <w:rFonts w:ascii="Arial" w:eastAsia="Verdana" w:hAnsi="Arial"/>
          <w:spacing w:val="2"/>
          <w:szCs w:val="26"/>
          <w:rtl/>
          <w:lang w:val="en-US" w:eastAsia="zh-TW"/>
        </w:rPr>
        <w:t xml:space="preserve">تقرير المساءلة السنوي الصادر عن مكتب الرقابة الداخلية والمقدم </w:t>
      </w:r>
      <w:r w:rsidR="00F65732">
        <w:rPr>
          <w:rFonts w:ascii="Arial" w:eastAsia="Verdana" w:hAnsi="Arial" w:hint="cs"/>
          <w:spacing w:val="2"/>
          <w:szCs w:val="26"/>
          <w:rtl/>
          <w:lang w:val="en-US" w:eastAsia="zh-TW"/>
        </w:rPr>
        <w:t>وفقاً ل</w:t>
      </w:r>
      <w:r w:rsidRPr="005A1239">
        <w:rPr>
          <w:rFonts w:ascii="Arial" w:eastAsia="Verdana" w:hAnsi="Arial"/>
          <w:spacing w:val="2"/>
          <w:szCs w:val="26"/>
          <w:rtl/>
          <w:lang w:val="en-US" w:eastAsia="zh-TW"/>
        </w:rPr>
        <w:t xml:space="preserve">لمادة </w:t>
      </w:r>
      <w:r w:rsidRPr="005A1239">
        <w:rPr>
          <w:rFonts w:ascii="Arial" w:eastAsia="Verdana" w:hAnsi="Arial"/>
          <w:spacing w:val="2"/>
          <w:szCs w:val="26"/>
          <w:lang w:eastAsia="zh-TW"/>
        </w:rPr>
        <w:t>13.10</w:t>
      </w:r>
      <w:r w:rsidRPr="005A1239">
        <w:rPr>
          <w:rFonts w:ascii="Arial" w:eastAsia="Verdana" w:hAnsi="Arial"/>
          <w:spacing w:val="2"/>
          <w:szCs w:val="26"/>
          <w:rtl/>
          <w:lang w:val="en-US" w:eastAsia="zh-TW"/>
        </w:rPr>
        <w:t xml:space="preserve"> من اللائحة المالية (وثيقة المعلومات </w:t>
      </w:r>
      <w:hyperlink r:id="rId16" w:history="1">
        <w:r w:rsidRPr="001977F3">
          <w:rPr>
            <w:rStyle w:val="Hyperlink"/>
            <w:rFonts w:ascii="Arial" w:eastAsia="Times New Roman" w:hAnsi="Arial"/>
            <w:spacing w:val="2"/>
          </w:rPr>
          <w:t xml:space="preserve">Cg-19/INF. </w:t>
        </w:r>
        <w:r w:rsidRPr="001977F3">
          <w:rPr>
            <w:rStyle w:val="Hyperlink"/>
            <w:rFonts w:ascii="Arial" w:eastAsia="Times New Roman" w:hAnsi="Arial"/>
            <w:spacing w:val="2"/>
          </w:rPr>
          <w:t>6</w:t>
        </w:r>
        <w:r w:rsidRPr="001977F3">
          <w:rPr>
            <w:rStyle w:val="Hyperlink"/>
            <w:rFonts w:ascii="Arial" w:eastAsia="Times New Roman" w:hAnsi="Arial"/>
            <w:spacing w:val="2"/>
          </w:rPr>
          <w:t>.5(3)</w:t>
        </w:r>
      </w:hyperlink>
      <w:r w:rsidRPr="005A1239">
        <w:rPr>
          <w:rFonts w:ascii="Arial" w:eastAsia="Verdana" w:hAnsi="Arial"/>
          <w:spacing w:val="2"/>
          <w:szCs w:val="26"/>
          <w:rtl/>
          <w:lang w:val="en-US" w:eastAsia="zh-TW"/>
        </w:rPr>
        <w:t>)</w:t>
      </w:r>
      <w:r w:rsidRPr="001977F3">
        <w:rPr>
          <w:rFonts w:ascii="Arial" w:eastAsia="Verdana" w:hAnsi="Arial" w:hint="cs"/>
          <w:spacing w:val="2"/>
          <w:szCs w:val="26"/>
          <w:rtl/>
          <w:lang w:val="en-US" w:eastAsia="zh-TW"/>
        </w:rPr>
        <w:t>،</w:t>
      </w:r>
    </w:p>
    <w:p w14:paraId="101149BB" w14:textId="727F1751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Times New Roman" w:hAnsi="Arial"/>
          <w:spacing w:val="-4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pacing w:val="-4"/>
          <w:szCs w:val="26"/>
          <w:rtl/>
          <w:lang w:val="en-US" w:eastAsia="zh-TW"/>
        </w:rPr>
        <w:lastRenderedPageBreak/>
        <w:t>يطلب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من الأمين العام مواصلة تقديم الدعم إلى </w:t>
      </w:r>
      <w:r w:rsidR="008D2471" w:rsidRPr="008D2471">
        <w:rPr>
          <w:rFonts w:ascii="Arial" w:eastAsia="Verdana" w:hAnsi="Arial" w:hint="cs"/>
          <w:spacing w:val="-4"/>
          <w:szCs w:val="26"/>
          <w:rtl/>
          <w:lang w:val="en-US" w:eastAsia="zh-TW"/>
        </w:rPr>
        <w:t>ال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هيئات الرقاب</w:t>
      </w:r>
      <w:r w:rsidR="008D2471" w:rsidRPr="008D2471">
        <w:rPr>
          <w:rFonts w:ascii="Arial" w:eastAsia="Verdana" w:hAnsi="Arial" w:hint="cs"/>
          <w:spacing w:val="-4"/>
          <w:szCs w:val="26"/>
          <w:rtl/>
          <w:lang w:val="en-US" w:eastAsia="zh-TW"/>
        </w:rPr>
        <w:t>ي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ة التابعة للمنظمة </w:t>
      </w:r>
      <w:r w:rsidRPr="005A1239">
        <w:rPr>
          <w:rFonts w:ascii="Arial" w:eastAsia="Verdana" w:hAnsi="Arial"/>
          <w:spacing w:val="-4"/>
          <w:szCs w:val="26"/>
          <w:lang w:eastAsia="zh-TW"/>
        </w:rPr>
        <w:t>(WMO)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وتنفيذ توصياتها على وجه السرعة؛</w:t>
      </w:r>
    </w:p>
    <w:p w14:paraId="02464229" w14:textId="3DBB99A6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pacing w:val="-2"/>
          <w:szCs w:val="26"/>
          <w:rtl/>
          <w:lang w:val="en-US" w:eastAsia="zh-TW"/>
        </w:rPr>
        <w:t xml:space="preserve">وإذ يشير 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إلى إجراءات المنظمة </w:t>
      </w:r>
      <w:r w:rsidRPr="005A1239">
        <w:rPr>
          <w:rFonts w:ascii="Arial" w:eastAsia="Verdana" w:hAnsi="Arial"/>
          <w:spacing w:val="-2"/>
          <w:szCs w:val="26"/>
          <w:lang w:eastAsia="zh-TW"/>
        </w:rPr>
        <w:t>(WMO)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 لمتابعة تقارير وحدة التفتيش المشتركة </w:t>
      </w:r>
      <w:r w:rsidRPr="005A1239">
        <w:rPr>
          <w:rFonts w:ascii="Arial" w:eastAsia="Verdana" w:hAnsi="Arial"/>
          <w:spacing w:val="-2"/>
          <w:szCs w:val="26"/>
          <w:lang w:eastAsia="zh-TW"/>
        </w:rPr>
        <w:t>(JIU)</w:t>
      </w:r>
      <w:r w:rsidRPr="005A1239">
        <w:rPr>
          <w:rFonts w:ascii="Arial" w:eastAsia="Verdana" w:hAnsi="Arial"/>
          <w:spacing w:val="-2"/>
          <w:szCs w:val="26"/>
          <w:rtl/>
          <w:lang w:val="en-US" w:eastAsia="zh-TW"/>
        </w:rPr>
        <w:t xml:space="preserve"> التي وافق عليها المجلس التنفيذي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(</w:t>
      </w:r>
      <w:hyperlink r:id="rId17" w:anchor="page=186" w:history="1"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>المرفق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 xml:space="preserve"> 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>ال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>ح</w:t>
        </w:r>
        <w:r w:rsidRPr="005A1239">
          <w:rPr>
            <w:rStyle w:val="Hyperlink"/>
            <w:rFonts w:ascii="Arial" w:eastAsia="Verdana" w:hAnsi="Arial"/>
            <w:szCs w:val="26"/>
            <w:rtl/>
            <w:lang w:val="en-US" w:eastAsia="zh-TW"/>
          </w:rPr>
          <w:t>ادي عشر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</w:t>
      </w:r>
      <w:r w:rsidR="000F6219">
        <w:rPr>
          <w:rFonts w:ascii="Arial" w:eastAsia="Verdana" w:hAnsi="Arial" w:hint="cs"/>
          <w:szCs w:val="26"/>
          <w:rtl/>
          <w:lang w:val="en-US" w:eastAsia="zh-TW"/>
        </w:rPr>
        <w:t xml:space="preserve">(مرفق </w:t>
      </w:r>
      <w:r w:rsidR="00D13BE2">
        <w:rPr>
          <w:rFonts w:ascii="Arial" w:eastAsia="Verdana" w:hAnsi="Arial" w:hint="cs"/>
          <w:szCs w:val="26"/>
          <w:rtl/>
          <w:lang w:val="en-US" w:eastAsia="zh-TW"/>
        </w:rPr>
        <w:t>ا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لفقرة </w:t>
      </w:r>
      <w:r w:rsidRPr="005A1239">
        <w:rPr>
          <w:rFonts w:ascii="Arial" w:eastAsia="Verdana" w:hAnsi="Arial"/>
          <w:szCs w:val="26"/>
          <w:lang w:eastAsia="zh-TW"/>
        </w:rPr>
        <w:t>15.1.2</w:t>
      </w:r>
      <w:r w:rsidR="000F6219">
        <w:rPr>
          <w:rFonts w:ascii="Arial" w:eastAsia="Verdana" w:hAnsi="Arial" w:hint="cs"/>
          <w:szCs w:val="26"/>
          <w:rtl/>
          <w:lang w:eastAsia="zh-TW"/>
        </w:rPr>
        <w:t>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من الملخص العام ل</w:t>
      </w:r>
      <w:r w:rsidR="008006F0">
        <w:rPr>
          <w:rFonts w:ascii="Arial" w:eastAsia="Verdana" w:hAnsi="Arial" w:hint="cs"/>
          <w:szCs w:val="26"/>
          <w:rtl/>
          <w:lang w:val="en-US" w:eastAsia="zh-TW"/>
        </w:rPr>
        <w:t>تقرير ا</w:t>
      </w:r>
      <w:r w:rsidRPr="005A1239">
        <w:rPr>
          <w:rFonts w:ascii="Arial" w:eastAsia="Verdana" w:hAnsi="Arial"/>
          <w:szCs w:val="26"/>
          <w:rtl/>
          <w:lang w:val="en-US" w:eastAsia="zh-TW"/>
        </w:rPr>
        <w:t>لدورة الرابعة والخمسين للمجلس التنفيذي)،</w:t>
      </w:r>
    </w:p>
    <w:p w14:paraId="5C64CD59" w14:textId="5AD63582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وإذ </w:t>
      </w:r>
      <w:r w:rsidRPr="001977F3">
        <w:rPr>
          <w:rFonts w:ascii="Arial" w:eastAsia="Verdana" w:hAnsi="Arial" w:hint="cs"/>
          <w:b/>
          <w:bCs/>
          <w:szCs w:val="26"/>
          <w:rtl/>
          <w:lang w:val="en-US" w:eastAsia="zh-TW"/>
        </w:rPr>
        <w:t>ي</w:t>
      </w: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لاحظ أيضاً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مع التقدير الأعمال التي أنجزتها وحدة التفتيش المشتركة بشأن تعزيز الحوكمة الرشيدة </w:t>
      </w:r>
      <w:r w:rsidR="008006F0">
        <w:rPr>
          <w:rFonts w:ascii="Arial" w:eastAsia="Verdana" w:hAnsi="Arial" w:hint="cs"/>
          <w:szCs w:val="26"/>
          <w:rtl/>
          <w:lang w:val="en-US" w:eastAsia="zh-TW"/>
        </w:rPr>
        <w:t>في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منظومة الأمم المتحدة،</w:t>
      </w:r>
    </w:p>
    <w:p w14:paraId="2226C0DA" w14:textId="4B0BB1C4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نظر 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في التوصيات الموجهة إلى الهيئات التشريعية والتي أصدرتها وحدة التفتيش المشتركة منذ الدورة الثامنة عشرة للمؤتمر العالمي للأرصاد الجوية </w:t>
      </w:r>
      <w:r w:rsidRPr="005A1239">
        <w:rPr>
          <w:rFonts w:ascii="Arial" w:eastAsia="Verdana" w:hAnsi="Arial"/>
          <w:szCs w:val="26"/>
          <w:lang w:eastAsia="zh-TW"/>
        </w:rPr>
        <w:t>(Cg-18)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، وفي استجابة الإدارة لهذه التوصيات الواردة في وثيقة المعلومات </w:t>
      </w:r>
      <w:hyperlink r:id="rId18" w:history="1">
        <w:r w:rsidR="001977F3" w:rsidRPr="001977F3">
          <w:rPr>
            <w:rStyle w:val="Hyperlink"/>
            <w:rFonts w:ascii="Arial" w:eastAsia="Times New Roman" w:hAnsi="Arial"/>
          </w:rPr>
          <w:t>Cg-19/</w:t>
        </w:r>
        <w:r w:rsidR="001977F3" w:rsidRPr="001977F3">
          <w:rPr>
            <w:rStyle w:val="Hyperlink"/>
            <w:rFonts w:ascii="Arial" w:hAnsi="Arial"/>
          </w:rPr>
          <w:t>I</w:t>
        </w:r>
        <w:r w:rsidR="001977F3" w:rsidRPr="001977F3">
          <w:rPr>
            <w:rStyle w:val="Hyperlink"/>
            <w:rFonts w:ascii="Arial" w:hAnsi="Arial"/>
          </w:rPr>
          <w:t>N</w:t>
        </w:r>
        <w:r w:rsidR="001977F3" w:rsidRPr="001977F3">
          <w:rPr>
            <w:rStyle w:val="Hyperlink"/>
            <w:rFonts w:ascii="Arial" w:hAnsi="Arial"/>
          </w:rPr>
          <w:t>F. 6.5(4)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،</w:t>
      </w:r>
    </w:p>
    <w:p w14:paraId="43C13CCB" w14:textId="77777777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rtl/>
          <w:lang w:val="en-US" w:eastAsia="zh-TW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 xml:space="preserve">وقد أحيط علماً </w:t>
      </w:r>
      <w:r w:rsidRPr="005A1239">
        <w:rPr>
          <w:rFonts w:ascii="Arial" w:eastAsia="Verdana" w:hAnsi="Arial"/>
          <w:szCs w:val="26"/>
          <w:rtl/>
          <w:lang w:val="en-US" w:eastAsia="zh-TW"/>
        </w:rPr>
        <w:t>بأن جميع التوصيات الصادرة عن وحدة التفتيش المشتركة قد قُدمت إلى لجنة المراجعة والرقابة إلى جانب الإجراء الإداري المقترح على سبيل الإرشاد، وعُرضت بعد ذلك على المجلس التنفيذي،</w:t>
      </w:r>
    </w:p>
    <w:p w14:paraId="67460A2A" w14:textId="0C277194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zCs w:val="26"/>
          <w:rtl/>
          <w:lang w:val="en-US" w:eastAsia="zh-TW"/>
        </w:rPr>
        <w:t>يقرر</w:t>
      </w:r>
      <w:r w:rsidRPr="005A1239">
        <w:rPr>
          <w:rFonts w:ascii="Arial" w:eastAsia="Verdana" w:hAnsi="Arial"/>
          <w:szCs w:val="26"/>
          <w:rtl/>
          <w:lang w:val="en-US" w:eastAsia="zh-TW"/>
        </w:rPr>
        <w:t xml:space="preserve"> تأييد الردود على توصيات وحدة التفتيش المشتركة الواردة في وثيقة المعلومات </w:t>
      </w:r>
      <w:hyperlink r:id="rId19" w:history="1">
        <w:r w:rsidR="001977F3" w:rsidRPr="001977F3">
          <w:rPr>
            <w:rStyle w:val="Hyperlink"/>
            <w:rFonts w:ascii="Arial" w:eastAsia="Times New Roman" w:hAnsi="Arial"/>
          </w:rPr>
          <w:t>Cg</w:t>
        </w:r>
        <w:r w:rsidR="001977F3" w:rsidRPr="001977F3">
          <w:rPr>
            <w:rStyle w:val="Hyperlink"/>
            <w:rFonts w:ascii="Arial" w:eastAsia="Times New Roman" w:hAnsi="Arial"/>
          </w:rPr>
          <w:noBreakHyphen/>
          <w:t>19/</w:t>
        </w:r>
        <w:r w:rsidR="001977F3" w:rsidRPr="001977F3">
          <w:rPr>
            <w:rStyle w:val="Hyperlink"/>
            <w:rFonts w:ascii="Arial" w:hAnsi="Arial"/>
          </w:rPr>
          <w:t>INF. 6.5</w:t>
        </w:r>
        <w:r w:rsidR="001977F3" w:rsidRPr="001977F3">
          <w:rPr>
            <w:rStyle w:val="Hyperlink"/>
            <w:rFonts w:ascii="Arial" w:hAnsi="Arial"/>
          </w:rPr>
          <w:t>(</w:t>
        </w:r>
        <w:r w:rsidR="001977F3" w:rsidRPr="001977F3">
          <w:rPr>
            <w:rStyle w:val="Hyperlink"/>
            <w:rFonts w:ascii="Arial" w:hAnsi="Arial"/>
          </w:rPr>
          <w:t>4)</w:t>
        </w:r>
      </w:hyperlink>
      <w:r w:rsidRPr="005A1239">
        <w:rPr>
          <w:rFonts w:ascii="Arial" w:eastAsia="Verdana" w:hAnsi="Arial"/>
          <w:szCs w:val="26"/>
          <w:rtl/>
          <w:lang w:val="en-US" w:eastAsia="zh-TW"/>
        </w:rPr>
        <w:t>؛</w:t>
      </w:r>
    </w:p>
    <w:p w14:paraId="0500E5F9" w14:textId="1A13FB49" w:rsidR="005A1239" w:rsidRPr="005A1239" w:rsidRDefault="005A1239" w:rsidP="009B1307">
      <w:pPr>
        <w:tabs>
          <w:tab w:val="clear" w:pos="1134"/>
        </w:tabs>
        <w:bidi/>
        <w:spacing w:before="200" w:line="320" w:lineRule="exact"/>
        <w:jc w:val="left"/>
        <w:textDirection w:val="tbRlV"/>
        <w:rPr>
          <w:rFonts w:ascii="Arial" w:eastAsia="Verdana" w:hAnsi="Arial"/>
          <w:spacing w:val="-4"/>
          <w:szCs w:val="26"/>
          <w:lang w:val="ar-SA" w:eastAsia="zh-TW" w:bidi="en-GB"/>
        </w:rPr>
      </w:pPr>
      <w:r w:rsidRPr="005A1239">
        <w:rPr>
          <w:rFonts w:ascii="Arial" w:eastAsia="Verdana" w:hAnsi="Arial"/>
          <w:b/>
          <w:bCs/>
          <w:spacing w:val="-4"/>
          <w:szCs w:val="26"/>
          <w:rtl/>
          <w:lang w:val="en-US" w:eastAsia="zh-TW"/>
        </w:rPr>
        <w:t>يطلب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من الأمين العام مواصلة تقديم الدعم لعمل وحدة التفتيش المشتركة </w:t>
      </w:r>
      <w:r w:rsidR="00FF78C4" w:rsidRPr="009B1307">
        <w:rPr>
          <w:rFonts w:ascii="Arial" w:eastAsia="Verdana" w:hAnsi="Arial" w:hint="cs"/>
          <w:spacing w:val="-4"/>
          <w:szCs w:val="26"/>
          <w:rtl/>
          <w:lang w:val="en-US" w:eastAsia="zh-TW"/>
        </w:rPr>
        <w:t>والنظر في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 xml:space="preserve"> توصياتها وفقاً للإجراءات المعمول</w:t>
      </w:r>
      <w:r w:rsidR="001977F3" w:rsidRPr="009B1307">
        <w:rPr>
          <w:rFonts w:ascii="Arial" w:eastAsia="Verdana" w:hAnsi="Arial" w:hint="cs"/>
          <w:spacing w:val="-4"/>
          <w:szCs w:val="26"/>
          <w:rtl/>
          <w:lang w:val="en-US" w:eastAsia="zh-TW"/>
        </w:rPr>
        <w:t> </w:t>
      </w:r>
      <w:r w:rsidRPr="005A1239">
        <w:rPr>
          <w:rFonts w:ascii="Arial" w:eastAsia="Verdana" w:hAnsi="Arial"/>
          <w:spacing w:val="-4"/>
          <w:szCs w:val="26"/>
          <w:rtl/>
          <w:lang w:val="en-US" w:eastAsia="zh-TW"/>
        </w:rPr>
        <w:t>بها</w:t>
      </w:r>
      <w:r w:rsidR="00AD6BB2">
        <w:rPr>
          <w:rFonts w:ascii="Arial" w:eastAsia="Verdana" w:hAnsi="Arial" w:hint="cs"/>
          <w:spacing w:val="-4"/>
          <w:szCs w:val="26"/>
          <w:rtl/>
          <w:lang w:val="en-US" w:eastAsia="zh-TW"/>
        </w:rPr>
        <w:t>.</w:t>
      </w:r>
    </w:p>
    <w:p w14:paraId="21C871C2" w14:textId="77777777" w:rsidR="00D33185" w:rsidRPr="001977F3" w:rsidRDefault="00D33185" w:rsidP="009B1307">
      <w:pPr>
        <w:pStyle w:val="WMOBodyText"/>
        <w:spacing w:before="120"/>
        <w:jc w:val="center"/>
      </w:pPr>
      <w:r w:rsidRPr="001977F3">
        <w:rPr>
          <w:rtl/>
        </w:rPr>
        <w:t>ـــــــــــــــــــــــــ</w:t>
      </w:r>
    </w:p>
    <w:p w14:paraId="4D9A917E" w14:textId="7F82B92D" w:rsidR="005B6E30" w:rsidRPr="001977F3" w:rsidRDefault="003A3D49" w:rsidP="009B1307">
      <w:pPr>
        <w:pStyle w:val="WMONote"/>
        <w:spacing w:before="120"/>
      </w:pPr>
      <w:r w:rsidRPr="001977F3">
        <w:rPr>
          <w:rtl/>
        </w:rPr>
        <w:t>ملاحظة:</w:t>
      </w:r>
      <w:r w:rsidRPr="001977F3">
        <w:rPr>
          <w:rtl/>
        </w:rPr>
        <w:tab/>
        <w:t xml:space="preserve">هذا القرار يحل محل </w:t>
      </w:r>
      <w:hyperlink r:id="rId20" w:anchor="page=304" w:history="1">
        <w:r w:rsidR="005A1239"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>القر</w:t>
        </w:r>
        <w:r w:rsidR="005A1239"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>ا</w:t>
        </w:r>
        <w:r w:rsidR="005A1239"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 xml:space="preserve">ر </w:t>
        </w:r>
        <w:r w:rsidR="005A1239"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83</w:t>
        </w:r>
        <w:r w:rsidR="005A1239" w:rsidRPr="001977F3">
          <w:rPr>
            <w:rFonts w:eastAsia="SimSun" w:hint="cs"/>
            <w:b w:val="0"/>
            <w:color w:val="0000FF"/>
            <w:sz w:val="20"/>
            <w:szCs w:val="26"/>
            <w:rtl/>
            <w:lang w:val="en-US" w:eastAsia="zh-CN"/>
          </w:rPr>
          <w:t xml:space="preserve"> </w:t>
        </w:r>
        <w:r w:rsidR="005A1239"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(Cg-1</w:t>
        </w:r>
        <w:r w:rsidR="005A1239"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8</w:t>
        </w:r>
        <w:r w:rsidR="005A1239" w:rsidRPr="001977F3">
          <w:rPr>
            <w:rFonts w:eastAsia="SimSun"/>
            <w:b w:val="0"/>
            <w:color w:val="0000FF"/>
            <w:sz w:val="20"/>
            <w:szCs w:val="26"/>
            <w:lang w:val="en-US" w:eastAsia="zh-CN"/>
          </w:rPr>
          <w:t>)</w:t>
        </w:r>
      </w:hyperlink>
      <w:r w:rsidR="005A1239" w:rsidRPr="001977F3">
        <w:rPr>
          <w:rFonts w:eastAsia="SimSun" w:hint="cs"/>
          <w:b w:val="0"/>
          <w:sz w:val="20"/>
          <w:szCs w:val="26"/>
          <w:rtl/>
          <w:lang w:val="en-US" w:eastAsia="zh-CN"/>
        </w:rPr>
        <w:t xml:space="preserve"> </w:t>
      </w:r>
      <w:r w:rsidR="005A1239" w:rsidRPr="001977F3">
        <w:rPr>
          <w:rFonts w:eastAsia="SimSun"/>
          <w:b w:val="0"/>
          <w:sz w:val="20"/>
          <w:szCs w:val="26"/>
          <w:rtl/>
          <w:lang w:val="en-US" w:eastAsia="zh-CN"/>
        </w:rPr>
        <w:t>–</w:t>
      </w:r>
      <w:r w:rsidR="005A1239" w:rsidRPr="001977F3">
        <w:rPr>
          <w:rFonts w:eastAsia="SimSun" w:hint="cs"/>
          <w:b w:val="0"/>
          <w:sz w:val="20"/>
          <w:szCs w:val="26"/>
          <w:rtl/>
          <w:lang w:val="en-US" w:eastAsia="zh-CN"/>
        </w:rPr>
        <w:t xml:space="preserve"> </w:t>
      </w:r>
      <w:r w:rsidR="005A1239" w:rsidRPr="001977F3">
        <w:rPr>
          <w:rFonts w:eastAsia="Calibri"/>
          <w:b w:val="0"/>
          <w:noProof/>
          <w:sz w:val="20"/>
          <w:szCs w:val="26"/>
          <w:rtl/>
          <w:lang w:val="en-US"/>
        </w:rPr>
        <w:t xml:space="preserve">توصيات وحدة التفتيش المشتركة </w:t>
      </w:r>
      <w:r w:rsidR="005A1239" w:rsidRPr="001977F3">
        <w:rPr>
          <w:rFonts w:eastAsia="Calibri"/>
          <w:b w:val="0"/>
          <w:noProof/>
          <w:sz w:val="20"/>
          <w:szCs w:val="26"/>
          <w:lang w:val="en-US"/>
        </w:rPr>
        <w:t>(JIU)</w:t>
      </w:r>
      <w:r w:rsidR="005A1239" w:rsidRPr="001977F3">
        <w:rPr>
          <w:rFonts w:eastAsia="Calibri" w:hint="cs"/>
          <w:b w:val="0"/>
          <w:noProof/>
          <w:sz w:val="20"/>
          <w:szCs w:val="26"/>
          <w:rtl/>
          <w:lang w:val="en-US"/>
        </w:rPr>
        <w:t>،</w:t>
      </w:r>
      <w:r w:rsidRPr="001977F3">
        <w:rPr>
          <w:rtl/>
        </w:rPr>
        <w:t xml:space="preserve"> الذي لم يعد سارياً.</w:t>
      </w:r>
    </w:p>
    <w:sectPr w:rsidR="005B6E30" w:rsidRPr="001977F3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E0CD" w14:textId="77777777" w:rsidR="00045608" w:rsidRDefault="00045608">
      <w:r>
        <w:separator/>
      </w:r>
    </w:p>
    <w:p w14:paraId="1BC5F3AA" w14:textId="77777777" w:rsidR="00045608" w:rsidRDefault="00045608"/>
    <w:p w14:paraId="14217669" w14:textId="77777777" w:rsidR="00045608" w:rsidRDefault="00045608"/>
  </w:endnote>
  <w:endnote w:type="continuationSeparator" w:id="0">
    <w:p w14:paraId="39A71AD0" w14:textId="77777777" w:rsidR="00045608" w:rsidRDefault="00045608">
      <w:r>
        <w:continuationSeparator/>
      </w:r>
    </w:p>
    <w:p w14:paraId="5ABC76A7" w14:textId="77777777" w:rsidR="00045608" w:rsidRDefault="00045608"/>
    <w:p w14:paraId="0B20BD63" w14:textId="77777777" w:rsidR="00045608" w:rsidRDefault="00045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C3A4" w14:textId="77777777" w:rsidR="00045608" w:rsidRDefault="00045608" w:rsidP="00F82F58">
      <w:pPr>
        <w:bidi/>
      </w:pPr>
      <w:r>
        <w:separator/>
      </w:r>
    </w:p>
  </w:footnote>
  <w:footnote w:type="continuationSeparator" w:id="0">
    <w:p w14:paraId="478401AB" w14:textId="77777777" w:rsidR="00045608" w:rsidRDefault="00045608">
      <w:r>
        <w:continuationSeparator/>
      </w:r>
    </w:p>
    <w:p w14:paraId="2E40CC06" w14:textId="77777777" w:rsidR="00045608" w:rsidRDefault="00045608"/>
    <w:p w14:paraId="06DFBFED" w14:textId="77777777" w:rsidR="00045608" w:rsidRDefault="00045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E695" w14:textId="6AA5E9D2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5B6E30">
      <w:rPr>
        <w:rFonts w:ascii="Arial" w:hAnsi="Arial"/>
        <w:szCs w:val="26"/>
      </w:rPr>
      <w:t>6.5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E53D11A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8"/>
    <w:rsid w:val="00000226"/>
    <w:rsid w:val="00002457"/>
    <w:rsid w:val="00004D69"/>
    <w:rsid w:val="000143AA"/>
    <w:rsid w:val="000206A8"/>
    <w:rsid w:val="0003137A"/>
    <w:rsid w:val="00031A23"/>
    <w:rsid w:val="00033D78"/>
    <w:rsid w:val="00041171"/>
    <w:rsid w:val="00041727"/>
    <w:rsid w:val="0004226F"/>
    <w:rsid w:val="00042B6A"/>
    <w:rsid w:val="00045608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7D4"/>
    <w:rsid w:val="000B3884"/>
    <w:rsid w:val="000C1916"/>
    <w:rsid w:val="000C225A"/>
    <w:rsid w:val="000C442C"/>
    <w:rsid w:val="000C6781"/>
    <w:rsid w:val="000E0A03"/>
    <w:rsid w:val="000F5AC6"/>
    <w:rsid w:val="000F5E49"/>
    <w:rsid w:val="000F621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977F3"/>
    <w:rsid w:val="001A341E"/>
    <w:rsid w:val="001A4800"/>
    <w:rsid w:val="001B0EA6"/>
    <w:rsid w:val="001B1CDF"/>
    <w:rsid w:val="001B2106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36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1DD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3E46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1239"/>
    <w:rsid w:val="005A6304"/>
    <w:rsid w:val="005B0AE2"/>
    <w:rsid w:val="005B1F2C"/>
    <w:rsid w:val="005B5F3C"/>
    <w:rsid w:val="005B6E30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2784"/>
    <w:rsid w:val="007C62D9"/>
    <w:rsid w:val="007C76EC"/>
    <w:rsid w:val="007E7D21"/>
    <w:rsid w:val="007F3A62"/>
    <w:rsid w:val="007F482F"/>
    <w:rsid w:val="007F7C94"/>
    <w:rsid w:val="00800322"/>
    <w:rsid w:val="008006F0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4EB6"/>
    <w:rsid w:val="00865AE2"/>
    <w:rsid w:val="00875006"/>
    <w:rsid w:val="00886375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2471"/>
    <w:rsid w:val="008D3815"/>
    <w:rsid w:val="008E1E4A"/>
    <w:rsid w:val="008E752E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1307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E3556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309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6BB2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31A0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13BE2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5732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  <w:rsid w:val="00FF7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F88D"/>
  <w15:docId w15:val="{0B610FB1-759B-4C5C-AAC7-1FF1EEA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InformationDocuments/Forms/AllItems.aspx" TargetMode="External"/><Relationship Id="rId18" Type="http://schemas.openxmlformats.org/officeDocument/2006/relationships/hyperlink" Target="https://meetings.wmo.int/Cg-19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library.wmo.int/doc_num.php?explnum_id=587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library.wmo.int/doc_num.php?explnum_id=98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AllItem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AllItems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1DB995EC-F31B-48AA-AC38-245E93E1B3D4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3582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3</cp:revision>
  <cp:lastPrinted>2013-03-12T09:27:00Z</cp:lastPrinted>
  <dcterms:created xsi:type="dcterms:W3CDTF">2023-05-09T13:10:00Z</dcterms:created>
  <dcterms:modified xsi:type="dcterms:W3CDTF">2023-05-09T13:13:00Z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